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58DB" w14:textId="77777777" w:rsidR="0050511C" w:rsidRPr="0050511C" w:rsidRDefault="0050511C" w:rsidP="0050511C">
      <w:pPr>
        <w:jc w:val="center"/>
        <w:rPr>
          <w:rFonts w:ascii="Arial" w:hAnsi="Arial" w:cs="Arial"/>
          <w:b/>
          <w:bCs/>
        </w:rPr>
      </w:pPr>
      <w:r w:rsidRPr="0050511C">
        <w:rPr>
          <w:rFonts w:ascii="Arial" w:hAnsi="Arial" w:cs="Arial"/>
          <w:b/>
          <w:bCs/>
        </w:rPr>
        <w:t>ACTUALIZAN BENEFICIOS DE “JORNADA DE SUBSIDIOS FISCALES” PARA JULIO</w:t>
      </w:r>
    </w:p>
    <w:p w14:paraId="0AE595C4" w14:textId="77777777" w:rsidR="0050511C" w:rsidRPr="0050511C" w:rsidRDefault="0050511C" w:rsidP="0050511C">
      <w:pPr>
        <w:jc w:val="both"/>
        <w:rPr>
          <w:rFonts w:ascii="Arial" w:hAnsi="Arial" w:cs="Arial"/>
        </w:rPr>
      </w:pPr>
    </w:p>
    <w:p w14:paraId="24AF2944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  <w:b/>
          <w:bCs/>
        </w:rPr>
        <w:t>Cancún, Q. R., a 04 de julio de 2023.-</w:t>
      </w:r>
      <w:r w:rsidRPr="0050511C">
        <w:rPr>
          <w:rFonts w:ascii="Arial" w:hAnsi="Arial" w:cs="Arial"/>
        </w:rPr>
        <w:t xml:space="preserve"> Durante todo este mes de julio, la “Jornada de Subsidios, Estímulos Fiscales y Regularización de Trámites” que ofrece el Ayuntamiento de Benito Juárez a la población en general, contará con incentivos en dos dependencias municipales, a fin de que apoyar la economía familiar. </w:t>
      </w:r>
    </w:p>
    <w:p w14:paraId="6ECEDDDB" w14:textId="77777777" w:rsidR="0050511C" w:rsidRPr="0050511C" w:rsidRDefault="0050511C" w:rsidP="0050511C">
      <w:pPr>
        <w:jc w:val="both"/>
        <w:rPr>
          <w:rFonts w:ascii="Arial" w:hAnsi="Arial" w:cs="Arial"/>
        </w:rPr>
      </w:pPr>
    </w:p>
    <w:p w14:paraId="112217B1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t xml:space="preserve">El primero de ellos es ofrecido por parte de la Dirección de Ingresos y consiste en: 50 por ciento menos en recargos y 100 por ciento de descuento en multas de impuesto predial correspondientes a años anteriores. </w:t>
      </w:r>
    </w:p>
    <w:p w14:paraId="63F3A1F6" w14:textId="77777777" w:rsidR="0050511C" w:rsidRPr="0050511C" w:rsidRDefault="0050511C" w:rsidP="0050511C">
      <w:pPr>
        <w:jc w:val="both"/>
        <w:rPr>
          <w:rFonts w:ascii="Arial" w:hAnsi="Arial" w:cs="Arial"/>
        </w:rPr>
      </w:pPr>
    </w:p>
    <w:p w14:paraId="14995135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t xml:space="preserve">Para este concepto, se pide a los contribuyentes obtener su estado de cuenta en forma física o desde la página oficial que es: www.cancun.gob.mx, para efectuar el pago en los 15 módulos disponibles en toda la ciudad o bancos de su preferencia.  </w:t>
      </w:r>
    </w:p>
    <w:p w14:paraId="58CD14E0" w14:textId="77777777" w:rsidR="0050511C" w:rsidRPr="0050511C" w:rsidRDefault="0050511C" w:rsidP="0050511C">
      <w:pPr>
        <w:jc w:val="both"/>
        <w:rPr>
          <w:rFonts w:ascii="Arial" w:hAnsi="Arial" w:cs="Arial"/>
        </w:rPr>
      </w:pPr>
    </w:p>
    <w:p w14:paraId="4EA6BF2C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t xml:space="preserve">La segunda dependencia participante es la dirección de Tránsito Municipal que tiene dos incentivos: un pago único de 500 pesos en accesorios y multas impuestos en 2017 y 2018, así como 50 por ciento en multas y 100 por ciento en recargos a las sanciones que hayan recibido los automovilistas en 2022 y 2023, a excepción de quienes hayan infringido los artículos 43, 126, 127, 129, 179 y 180 del Reglamento de Tránsito y del Transporte de Carga del municipio.  </w:t>
      </w:r>
    </w:p>
    <w:p w14:paraId="6E00E71A" w14:textId="77777777" w:rsidR="0050511C" w:rsidRPr="0050511C" w:rsidRDefault="0050511C" w:rsidP="0050511C">
      <w:pPr>
        <w:jc w:val="both"/>
        <w:rPr>
          <w:rFonts w:ascii="Arial" w:hAnsi="Arial" w:cs="Arial"/>
        </w:rPr>
      </w:pPr>
    </w:p>
    <w:p w14:paraId="33AED4C5" w14:textId="3E9CB5FF" w:rsidR="0050511C" w:rsidRDefault="0050511C" w:rsidP="0050511C">
      <w:pPr>
        <w:jc w:val="center"/>
        <w:rPr>
          <w:rFonts w:ascii="Arial" w:hAnsi="Arial" w:cs="Arial"/>
        </w:rPr>
      </w:pPr>
      <w:r w:rsidRPr="0050511C">
        <w:rPr>
          <w:rFonts w:ascii="Arial" w:hAnsi="Arial" w:cs="Arial"/>
        </w:rPr>
        <w:t>****</w:t>
      </w:r>
      <w:r>
        <w:rPr>
          <w:rFonts w:ascii="Arial" w:hAnsi="Arial" w:cs="Arial"/>
        </w:rPr>
        <w:t>*********</w:t>
      </w:r>
    </w:p>
    <w:p w14:paraId="1CFED141" w14:textId="77777777" w:rsidR="0050511C" w:rsidRDefault="0050511C" w:rsidP="0050511C">
      <w:pPr>
        <w:jc w:val="center"/>
        <w:rPr>
          <w:rFonts w:ascii="Arial" w:hAnsi="Arial" w:cs="Arial"/>
        </w:rPr>
      </w:pPr>
    </w:p>
    <w:p w14:paraId="1B9AC064" w14:textId="4DC601DB" w:rsidR="0050511C" w:rsidRDefault="0050511C" w:rsidP="0050511C">
      <w:pPr>
        <w:jc w:val="center"/>
        <w:rPr>
          <w:rFonts w:ascii="Arial" w:hAnsi="Arial" w:cs="Arial"/>
          <w:b/>
          <w:bCs/>
        </w:rPr>
      </w:pPr>
      <w:r w:rsidRPr="0050511C">
        <w:rPr>
          <w:rFonts w:ascii="Arial" w:hAnsi="Arial" w:cs="Arial"/>
          <w:b/>
          <w:bCs/>
        </w:rPr>
        <w:t>COMPLEMENTO INFORMATIVO</w:t>
      </w:r>
    </w:p>
    <w:p w14:paraId="4041FD3C" w14:textId="77777777" w:rsidR="0050511C" w:rsidRPr="0050511C" w:rsidRDefault="0050511C" w:rsidP="0050511C">
      <w:pPr>
        <w:jc w:val="center"/>
        <w:rPr>
          <w:rFonts w:ascii="Arial" w:hAnsi="Arial" w:cs="Arial"/>
          <w:b/>
          <w:bCs/>
        </w:rPr>
      </w:pPr>
    </w:p>
    <w:p w14:paraId="55255B03" w14:textId="77777777" w:rsidR="0050511C" w:rsidRPr="0050511C" w:rsidRDefault="0050511C" w:rsidP="0050511C">
      <w:pPr>
        <w:jc w:val="both"/>
        <w:rPr>
          <w:rFonts w:ascii="Arial" w:hAnsi="Arial" w:cs="Arial"/>
          <w:b/>
          <w:bCs/>
        </w:rPr>
      </w:pPr>
      <w:r w:rsidRPr="0050511C">
        <w:rPr>
          <w:rFonts w:ascii="Arial" w:hAnsi="Arial" w:cs="Arial"/>
          <w:b/>
          <w:bCs/>
        </w:rPr>
        <w:t>CAJA DE DATOS</w:t>
      </w:r>
    </w:p>
    <w:p w14:paraId="15216CF1" w14:textId="77777777" w:rsidR="0050511C" w:rsidRPr="0050511C" w:rsidRDefault="0050511C" w:rsidP="0050511C">
      <w:pPr>
        <w:jc w:val="both"/>
        <w:rPr>
          <w:rFonts w:ascii="Arial" w:hAnsi="Arial" w:cs="Arial"/>
        </w:rPr>
      </w:pPr>
    </w:p>
    <w:p w14:paraId="3E5D0DC7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t xml:space="preserve">Módulos de pago y estado de cuenta: </w:t>
      </w:r>
    </w:p>
    <w:p w14:paraId="12E655ED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t>•</w:t>
      </w:r>
      <w:r w:rsidRPr="0050511C">
        <w:rPr>
          <w:rFonts w:ascii="Arial" w:hAnsi="Arial" w:cs="Arial"/>
        </w:rPr>
        <w:tab/>
        <w:t xml:space="preserve">Palacio Municipal </w:t>
      </w:r>
    </w:p>
    <w:p w14:paraId="297B1547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t>•</w:t>
      </w:r>
      <w:r w:rsidRPr="0050511C">
        <w:rPr>
          <w:rFonts w:ascii="Arial" w:hAnsi="Arial" w:cs="Arial"/>
        </w:rPr>
        <w:tab/>
        <w:t xml:space="preserve">Tránsito </w:t>
      </w:r>
    </w:p>
    <w:p w14:paraId="71EC16C3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t>•</w:t>
      </w:r>
      <w:r w:rsidRPr="0050511C">
        <w:rPr>
          <w:rFonts w:ascii="Arial" w:hAnsi="Arial" w:cs="Arial"/>
        </w:rPr>
        <w:tab/>
        <w:t xml:space="preserve">Catastro </w:t>
      </w:r>
    </w:p>
    <w:p w14:paraId="09322C1B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t>•</w:t>
      </w:r>
      <w:r w:rsidRPr="0050511C">
        <w:rPr>
          <w:rFonts w:ascii="Arial" w:hAnsi="Arial" w:cs="Arial"/>
        </w:rPr>
        <w:tab/>
        <w:t xml:space="preserve">Desarrollo Urbano </w:t>
      </w:r>
    </w:p>
    <w:p w14:paraId="64D2C59F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t>•</w:t>
      </w:r>
      <w:r w:rsidRPr="0050511C">
        <w:rPr>
          <w:rFonts w:ascii="Arial" w:hAnsi="Arial" w:cs="Arial"/>
        </w:rPr>
        <w:tab/>
        <w:t>Centro de Retención y Sanciones Administrativas (“Torito”)</w:t>
      </w:r>
    </w:p>
    <w:p w14:paraId="04F45F59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t>•</w:t>
      </w:r>
      <w:r w:rsidRPr="0050511C">
        <w:rPr>
          <w:rFonts w:ascii="Arial" w:hAnsi="Arial" w:cs="Arial"/>
        </w:rPr>
        <w:tab/>
        <w:t xml:space="preserve">Ventanilla Única de Trámites y Servicios </w:t>
      </w:r>
    </w:p>
    <w:p w14:paraId="2DFA931A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t>•</w:t>
      </w:r>
      <w:r w:rsidRPr="0050511C">
        <w:rPr>
          <w:rFonts w:ascii="Arial" w:hAnsi="Arial" w:cs="Arial"/>
        </w:rPr>
        <w:tab/>
        <w:t>Registro Civil Palapas</w:t>
      </w:r>
    </w:p>
    <w:p w14:paraId="00EA2803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t>•</w:t>
      </w:r>
      <w:r w:rsidRPr="0050511C">
        <w:rPr>
          <w:rFonts w:ascii="Arial" w:hAnsi="Arial" w:cs="Arial"/>
        </w:rPr>
        <w:tab/>
        <w:t>Registro Civil Supermanzana 94</w:t>
      </w:r>
    </w:p>
    <w:p w14:paraId="320DAD38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t>•</w:t>
      </w:r>
      <w:r w:rsidRPr="0050511C">
        <w:rPr>
          <w:rFonts w:ascii="Arial" w:hAnsi="Arial" w:cs="Arial"/>
        </w:rPr>
        <w:tab/>
        <w:t>Registro Civil Supermanzana 95</w:t>
      </w:r>
    </w:p>
    <w:p w14:paraId="51BB04AD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t>•</w:t>
      </w:r>
      <w:r w:rsidRPr="0050511C">
        <w:rPr>
          <w:rFonts w:ascii="Arial" w:hAnsi="Arial" w:cs="Arial"/>
        </w:rPr>
        <w:tab/>
        <w:t xml:space="preserve">Registro Civil Supermanzana 237 </w:t>
      </w:r>
    </w:p>
    <w:p w14:paraId="0EAF4332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t>•</w:t>
      </w:r>
      <w:r w:rsidRPr="0050511C">
        <w:rPr>
          <w:rFonts w:ascii="Arial" w:hAnsi="Arial" w:cs="Arial"/>
        </w:rPr>
        <w:tab/>
        <w:t>Policía Turística (zona hotelera)</w:t>
      </w:r>
    </w:p>
    <w:p w14:paraId="74B184F7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lastRenderedPageBreak/>
        <w:t>•</w:t>
      </w:r>
      <w:r w:rsidRPr="0050511C">
        <w:rPr>
          <w:rFonts w:ascii="Arial" w:hAnsi="Arial" w:cs="Arial"/>
        </w:rPr>
        <w:tab/>
        <w:t xml:space="preserve">Delegación Alfredo V. Bonfil </w:t>
      </w:r>
    </w:p>
    <w:p w14:paraId="5946F396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t>•</w:t>
      </w:r>
      <w:r w:rsidRPr="0050511C">
        <w:rPr>
          <w:rFonts w:ascii="Arial" w:hAnsi="Arial" w:cs="Arial"/>
        </w:rPr>
        <w:tab/>
        <w:t>Plaza Mis Héroes</w:t>
      </w:r>
    </w:p>
    <w:p w14:paraId="11FBA513" w14:textId="77777777" w:rsidR="0050511C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t>•</w:t>
      </w:r>
      <w:r w:rsidRPr="0050511C">
        <w:rPr>
          <w:rFonts w:ascii="Arial" w:hAnsi="Arial" w:cs="Arial"/>
        </w:rPr>
        <w:tab/>
        <w:t>Canaco</w:t>
      </w:r>
    </w:p>
    <w:p w14:paraId="3EA0F378" w14:textId="7DF88CBC" w:rsidR="00351441" w:rsidRPr="0050511C" w:rsidRDefault="0050511C" w:rsidP="0050511C">
      <w:pPr>
        <w:jc w:val="both"/>
        <w:rPr>
          <w:rFonts w:ascii="Arial" w:hAnsi="Arial" w:cs="Arial"/>
        </w:rPr>
      </w:pPr>
      <w:r w:rsidRPr="0050511C">
        <w:rPr>
          <w:rFonts w:ascii="Arial" w:hAnsi="Arial" w:cs="Arial"/>
        </w:rPr>
        <w:t>•</w:t>
      </w:r>
      <w:r w:rsidRPr="0050511C">
        <w:rPr>
          <w:rFonts w:ascii="Arial" w:hAnsi="Arial" w:cs="Arial"/>
        </w:rPr>
        <w:tab/>
        <w:t>Sindicato de Taxistas</w:t>
      </w:r>
    </w:p>
    <w:sectPr w:rsidR="00351441" w:rsidRPr="0050511C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529C" w14:textId="77777777" w:rsidR="00FA025F" w:rsidRDefault="00FA025F" w:rsidP="0032752D">
      <w:r>
        <w:separator/>
      </w:r>
    </w:p>
  </w:endnote>
  <w:endnote w:type="continuationSeparator" w:id="0">
    <w:p w14:paraId="4BDFD7BE" w14:textId="77777777" w:rsidR="00FA025F" w:rsidRDefault="00FA025F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03E1" w14:textId="77777777" w:rsidR="00FA025F" w:rsidRDefault="00FA025F" w:rsidP="0032752D">
      <w:r>
        <w:separator/>
      </w:r>
    </w:p>
  </w:footnote>
  <w:footnote w:type="continuationSeparator" w:id="0">
    <w:p w14:paraId="3C29BBDF" w14:textId="77777777" w:rsidR="00FA025F" w:rsidRDefault="00FA025F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3A012D19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50511C">
            <w:rPr>
              <w:rFonts w:ascii="Gotham" w:hAnsi="Gotham"/>
              <w:b/>
              <w:sz w:val="22"/>
              <w:szCs w:val="22"/>
              <w:lang w:val="es-MX"/>
            </w:rPr>
            <w:t>787</w:t>
          </w:r>
        </w:p>
        <w:p w14:paraId="2564202F" w14:textId="41B9E0E7" w:rsidR="002A59FA" w:rsidRPr="00E068A5" w:rsidRDefault="00E2667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50511C">
            <w:rPr>
              <w:rFonts w:ascii="Gotham" w:hAnsi="Gotham"/>
              <w:sz w:val="22"/>
              <w:szCs w:val="22"/>
              <w:lang w:val="es-MX"/>
            </w:rPr>
            <w:t>4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6"/>
  </w:num>
  <w:num w:numId="7" w16cid:durableId="2057317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0511C"/>
    <w:rsid w:val="00537E86"/>
    <w:rsid w:val="005423C8"/>
    <w:rsid w:val="005D5B5A"/>
    <w:rsid w:val="005D66EE"/>
    <w:rsid w:val="00690482"/>
    <w:rsid w:val="006B6BE4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A025F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2023-07-05T00:50:00Z</dcterms:created>
  <dcterms:modified xsi:type="dcterms:W3CDTF">2023-07-05T00:50:00Z</dcterms:modified>
</cp:coreProperties>
</file>